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 xml:space="preserve"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343572" w:rsidP="00670EB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06120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670EB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741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03735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670EB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69115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670EB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74521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 654,55394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670EB9" w:rsidRPr="00670EB9">
        <w:rPr>
          <w:rFonts w:ascii="Times New Roman" w:hAnsi="Times New Roman" w:cs="Times New Roman"/>
          <w:b/>
          <w:sz w:val="24"/>
          <w:szCs w:val="24"/>
        </w:rPr>
        <w:t>1 293 615,06120</w:t>
      </w:r>
      <w:r w:rsidR="00B75A1C" w:rsidRPr="00B75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670EB9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211 633,74521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670EB9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1 246 506,69115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670EB9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218 741,03735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670EB9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1 293 615,06120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529</cp:revision>
  <cp:lastPrinted>2023-03-13T09:13:00Z</cp:lastPrinted>
  <dcterms:created xsi:type="dcterms:W3CDTF">2019-01-24T09:19:00Z</dcterms:created>
  <dcterms:modified xsi:type="dcterms:W3CDTF">2023-10-27T08:18:00Z</dcterms:modified>
</cp:coreProperties>
</file>